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E8" w:rsidRPr="00EE2430" w:rsidRDefault="007067E8" w:rsidP="007067E8">
      <w:pPr>
        <w:pStyle w:val="Heading2"/>
        <w:rPr>
          <w:rFonts w:ascii="TheSansOffice" w:hAnsi="TheSansOffice"/>
          <w:i w:val="0"/>
        </w:rPr>
      </w:pPr>
      <w:r>
        <w:rPr>
          <w:rFonts w:ascii="TheSansOffice" w:hAnsi="TheSansOffice"/>
          <w:i w:val="0"/>
        </w:rPr>
        <w:t>2016</w:t>
      </w:r>
      <w:r w:rsidRPr="00EE2430">
        <w:rPr>
          <w:rFonts w:ascii="TheSansOffice" w:hAnsi="TheSansOffice"/>
          <w:i w:val="0"/>
        </w:rPr>
        <w:t xml:space="preserve"> Annual Report</w:t>
      </w:r>
    </w:p>
    <w:p w:rsidR="003A7C25" w:rsidRPr="003A7C25" w:rsidRDefault="003A7C25" w:rsidP="003A7C25">
      <w:pPr>
        <w:pStyle w:val="NormalWeb"/>
        <w:rPr>
          <w:rFonts w:ascii="TheSansOffice" w:hAnsi="TheSansOffice"/>
        </w:rPr>
      </w:pPr>
      <w:r w:rsidRPr="003A7C25">
        <w:rPr>
          <w:rFonts w:ascii="TheSansOffice" w:hAnsi="TheSansOffice"/>
        </w:rPr>
        <w:t xml:space="preserve">Legacy Deo enjoyed a modestly-successful 2016, despite continued low economic growth and uncertainties caused by the US presidential election. US GDP grew by a lackluster annual average of 1.6%. This indicator </w:t>
      </w:r>
      <w:r w:rsidR="00031682">
        <w:rPr>
          <w:rFonts w:ascii="TheSansOffice" w:hAnsi="TheSansOffice"/>
        </w:rPr>
        <w:t>combined</w:t>
      </w:r>
      <w:r w:rsidRPr="003A7C25">
        <w:rPr>
          <w:rFonts w:ascii="TheSansOffice" w:hAnsi="TheSansOffice"/>
        </w:rPr>
        <w:t xml:space="preserve"> a widening trade deficit suggested sluggish economic growth. Others such as jobs growth and inflation told a different story, however, prompting the Federal Reserve Bank to raise its inter-bank borrowing rate in December. By year's end, consumer optimism had reached a fifteen-year high. The US stock markets, which began an impressive post-election rally, continued their ascent through the end of the year. These are positive signs for the near-term economy.</w:t>
      </w:r>
    </w:p>
    <w:p w:rsidR="003A7C25" w:rsidRDefault="003A7C25" w:rsidP="007067E8">
      <w:pPr>
        <w:pStyle w:val="NormalWeb"/>
        <w:rPr>
          <w:rFonts w:ascii="TheSansOffice" w:hAnsi="TheSansOffice"/>
        </w:rPr>
      </w:pPr>
      <w:r w:rsidRPr="003A7C25">
        <w:rPr>
          <w:rFonts w:ascii="TheSansOffice" w:hAnsi="TheSansOffice"/>
        </w:rPr>
        <w:t xml:space="preserve">Our five investment funds performed reasonably well in 2016, although stocks slumped far into the first quarter as investors eyed China's manufacturing slowdown and global growth concerns. The outcome of the so-called "Brexit" vote in the United Kingdom gave the markets a midsummer mini-shock, leading to flat returns through the end of the election cycle. For the entire year, the S&amp;P 500 index grew in excess of 13% and corporate bonds returned more than 2%. On a composite basis, Legacy Deo's diversified investment portfolio returned 4.8% for the year. This performance allowed us to increase our endowment distribution rate from 3.0% to 3.5%. We anticipate as economic conditions </w:t>
      </w:r>
      <w:r>
        <w:rPr>
          <w:rFonts w:ascii="TheSansOffice" w:hAnsi="TheSansOffice"/>
        </w:rPr>
        <w:t xml:space="preserve">and investment markets </w:t>
      </w:r>
      <w:r w:rsidRPr="003A7C25">
        <w:rPr>
          <w:rFonts w:ascii="TheSansOffice" w:hAnsi="TheSansOffice"/>
        </w:rPr>
        <w:t xml:space="preserve">improve, we will be able to move this key performance measure closer to </w:t>
      </w:r>
      <w:r>
        <w:rPr>
          <w:rFonts w:ascii="TheSansOffice" w:hAnsi="TheSansOffice"/>
        </w:rPr>
        <w:t>our</w:t>
      </w:r>
      <w:r w:rsidRPr="003A7C25">
        <w:rPr>
          <w:rFonts w:ascii="TheSansOffice" w:hAnsi="TheSansOffice"/>
        </w:rPr>
        <w:t xml:space="preserve"> 4% target.</w:t>
      </w:r>
    </w:p>
    <w:p w:rsidR="00D84737" w:rsidRDefault="00D84737" w:rsidP="007067E8">
      <w:pPr>
        <w:pStyle w:val="NormalWeb"/>
        <w:rPr>
          <w:rFonts w:ascii="TheSansOffice" w:hAnsi="TheSansOffice"/>
        </w:rPr>
      </w:pPr>
      <w:r w:rsidRPr="00D84737">
        <w:rPr>
          <w:rFonts w:ascii="TheSansOffice" w:hAnsi="TheSansOffice"/>
        </w:rPr>
        <w:t xml:space="preserve">Legacy Deo ended 2016 with 435 managed accounts valued </w:t>
      </w:r>
      <w:r>
        <w:rPr>
          <w:rFonts w:ascii="TheSansOffice" w:hAnsi="TheSansOffice"/>
        </w:rPr>
        <w:t>at just under $42</w:t>
      </w:r>
      <w:r w:rsidRPr="00D84737">
        <w:rPr>
          <w:rFonts w:ascii="TheSansOffice" w:hAnsi="TheSansOffice"/>
        </w:rPr>
        <w:t xml:space="preserve"> million. Incoming gifts continued the positive trajectory that began in 2010. Donors opened eight new accounts totaling more than $1.1 million. Four of these were endowments benefitting </w:t>
      </w:r>
      <w:r>
        <w:rPr>
          <w:rFonts w:ascii="TheSansOffice" w:hAnsi="TheSansOffice"/>
        </w:rPr>
        <w:t>an inner-city ministry</w:t>
      </w:r>
      <w:r w:rsidRPr="00D84737">
        <w:rPr>
          <w:rFonts w:ascii="TheSansOffice" w:hAnsi="TheSansOffice"/>
        </w:rPr>
        <w:t xml:space="preserve">, </w:t>
      </w:r>
      <w:r>
        <w:rPr>
          <w:rFonts w:ascii="TheSansOffice" w:hAnsi="TheSansOffice"/>
        </w:rPr>
        <w:t>a Christian university</w:t>
      </w:r>
      <w:r w:rsidRPr="00D84737">
        <w:rPr>
          <w:rFonts w:ascii="TheSansOffice" w:hAnsi="TheSansOffice"/>
        </w:rPr>
        <w:t xml:space="preserve">, </w:t>
      </w:r>
      <w:r>
        <w:rPr>
          <w:rFonts w:ascii="TheSansOffice" w:hAnsi="TheSansOffice"/>
        </w:rPr>
        <w:t xml:space="preserve">a school, and </w:t>
      </w:r>
      <w:r w:rsidRPr="00D84737">
        <w:rPr>
          <w:rFonts w:ascii="TheSansOffice" w:hAnsi="TheSansOffice"/>
        </w:rPr>
        <w:t xml:space="preserve">a </w:t>
      </w:r>
      <w:r>
        <w:rPr>
          <w:rFonts w:ascii="TheSansOffice" w:hAnsi="TheSansOffice"/>
        </w:rPr>
        <w:t>church</w:t>
      </w:r>
      <w:r w:rsidRPr="00D84737">
        <w:rPr>
          <w:rFonts w:ascii="TheSansOffice" w:hAnsi="TheSansOffice"/>
        </w:rPr>
        <w:t xml:space="preserve">. Three families augmented their estate plans by </w:t>
      </w:r>
      <w:r>
        <w:rPr>
          <w:rFonts w:ascii="TheSansOffice" w:hAnsi="TheSansOffice"/>
        </w:rPr>
        <w:t>creat</w:t>
      </w:r>
      <w:r w:rsidRPr="00D84737">
        <w:rPr>
          <w:rFonts w:ascii="TheSansOffice" w:hAnsi="TheSansOffice"/>
        </w:rPr>
        <w:t>ing charitable remainder trusts that provide personal income before ultimately benefitting several Lutheran charities and Legacy Deo itself. We are greatly encouraged by this account growth, because it reveals our mission is resonating with the Christian community.</w:t>
      </w:r>
    </w:p>
    <w:p w:rsidR="00CE4633" w:rsidRDefault="00D84737">
      <w:r w:rsidRPr="00D84737">
        <w:rPr>
          <w:rFonts w:ascii="TheSansOffice" w:eastAsia="Times New Roman" w:hAnsi="TheSansOffice" w:cs="Times New Roman"/>
          <w:sz w:val="24"/>
          <w:szCs w:val="24"/>
        </w:rPr>
        <w:t xml:space="preserve">Most importantly, </w:t>
      </w:r>
      <w:r>
        <w:rPr>
          <w:rFonts w:ascii="TheSansOffice" w:eastAsia="Times New Roman" w:hAnsi="TheSansOffice" w:cs="Times New Roman"/>
          <w:sz w:val="24"/>
          <w:szCs w:val="24"/>
        </w:rPr>
        <w:t>Legacy Deo distributed</w:t>
      </w:r>
      <w:r w:rsidRPr="00D84737">
        <w:rPr>
          <w:rFonts w:ascii="TheSansOffice" w:eastAsia="Times New Roman" w:hAnsi="TheSansOffice" w:cs="Times New Roman"/>
          <w:sz w:val="24"/>
          <w:szCs w:val="24"/>
        </w:rPr>
        <w:t xml:space="preserve"> </w:t>
      </w:r>
      <w:r>
        <w:rPr>
          <w:rFonts w:ascii="TheSansOffice" w:eastAsia="Times New Roman" w:hAnsi="TheSansOffice" w:cs="Times New Roman"/>
          <w:sz w:val="24"/>
          <w:szCs w:val="24"/>
        </w:rPr>
        <w:t xml:space="preserve">approximately $2.3 million </w:t>
      </w:r>
      <w:r w:rsidRPr="00D84737">
        <w:rPr>
          <w:rFonts w:ascii="TheSansOffice" w:eastAsia="Times New Roman" w:hAnsi="TheSansOffice" w:cs="Times New Roman"/>
          <w:sz w:val="24"/>
          <w:szCs w:val="24"/>
        </w:rPr>
        <w:t>to ministries and individuals</w:t>
      </w:r>
      <w:r w:rsidR="002A79BA">
        <w:rPr>
          <w:rFonts w:ascii="TheSansOffice" w:eastAsia="Times New Roman" w:hAnsi="TheSansOffice" w:cs="Times New Roman"/>
          <w:sz w:val="24"/>
          <w:szCs w:val="24"/>
        </w:rPr>
        <w:t xml:space="preserve"> in 2016</w:t>
      </w:r>
      <w:r>
        <w:rPr>
          <w:rFonts w:ascii="TheSansOffice" w:eastAsia="Times New Roman" w:hAnsi="TheSansOffice" w:cs="Times New Roman"/>
          <w:sz w:val="24"/>
          <w:szCs w:val="24"/>
        </w:rPr>
        <w:t>. That amount surpasses 2015</w:t>
      </w:r>
      <w:r w:rsidR="00C806B8">
        <w:rPr>
          <w:rFonts w:ascii="TheSansOffice" w:eastAsia="Times New Roman" w:hAnsi="TheSansOffice" w:cs="Times New Roman"/>
          <w:sz w:val="24"/>
          <w:szCs w:val="24"/>
        </w:rPr>
        <w:t>'s distributions</w:t>
      </w:r>
      <w:r w:rsidRPr="00D84737">
        <w:rPr>
          <w:rFonts w:ascii="TheSansOffice" w:eastAsia="Times New Roman" w:hAnsi="TheSansOffice" w:cs="Times New Roman"/>
          <w:sz w:val="24"/>
          <w:szCs w:val="24"/>
        </w:rPr>
        <w:t xml:space="preserve"> and illustrates what we are all about: supporting </w:t>
      </w:r>
      <w:r w:rsidR="00C806B8">
        <w:rPr>
          <w:rFonts w:ascii="TheSansOffice" w:eastAsia="Times New Roman" w:hAnsi="TheSansOffice" w:cs="Times New Roman"/>
          <w:sz w:val="24"/>
          <w:szCs w:val="24"/>
        </w:rPr>
        <w:t xml:space="preserve">all types of </w:t>
      </w:r>
      <w:r w:rsidRPr="00D84737">
        <w:rPr>
          <w:rFonts w:ascii="TheSansOffice" w:eastAsia="Times New Roman" w:hAnsi="TheSansOffice" w:cs="Times New Roman"/>
          <w:sz w:val="24"/>
          <w:szCs w:val="24"/>
        </w:rPr>
        <w:t xml:space="preserve">ministry </w:t>
      </w:r>
      <w:r w:rsidR="00C806B8">
        <w:rPr>
          <w:rFonts w:ascii="TheSansOffice" w:eastAsia="Times New Roman" w:hAnsi="TheSansOffice" w:cs="Times New Roman"/>
          <w:sz w:val="24"/>
          <w:szCs w:val="24"/>
        </w:rPr>
        <w:t xml:space="preserve">and </w:t>
      </w:r>
      <w:r w:rsidR="005F54E3">
        <w:rPr>
          <w:rFonts w:ascii="TheSansOffice" w:eastAsia="Times New Roman" w:hAnsi="TheSansOffice" w:cs="Times New Roman"/>
          <w:sz w:val="24"/>
          <w:szCs w:val="24"/>
        </w:rPr>
        <w:t>strengthen</w:t>
      </w:r>
      <w:r w:rsidR="00C806B8">
        <w:rPr>
          <w:rFonts w:ascii="TheSansOffice" w:eastAsia="Times New Roman" w:hAnsi="TheSansOffice" w:cs="Times New Roman"/>
          <w:sz w:val="24"/>
          <w:szCs w:val="24"/>
        </w:rPr>
        <w:t xml:space="preserve">ing families </w:t>
      </w:r>
      <w:r w:rsidR="005F54E3">
        <w:rPr>
          <w:rFonts w:ascii="TheSansOffice" w:eastAsia="Times New Roman" w:hAnsi="TheSansOffice" w:cs="Times New Roman"/>
          <w:sz w:val="24"/>
          <w:szCs w:val="24"/>
        </w:rPr>
        <w:t>financially</w:t>
      </w:r>
      <w:bookmarkStart w:id="0" w:name="_GoBack"/>
      <w:bookmarkEnd w:id="0"/>
      <w:r w:rsidR="00C806B8">
        <w:rPr>
          <w:rFonts w:ascii="TheSansOffice" w:eastAsia="Times New Roman" w:hAnsi="TheSansOffice" w:cs="Times New Roman"/>
          <w:sz w:val="24"/>
          <w:szCs w:val="24"/>
        </w:rPr>
        <w:t xml:space="preserve"> through</w:t>
      </w:r>
      <w:r>
        <w:rPr>
          <w:rFonts w:ascii="TheSansOffice" w:eastAsia="Times New Roman" w:hAnsi="TheSansOffice" w:cs="Times New Roman"/>
          <w:sz w:val="24"/>
          <w:szCs w:val="24"/>
        </w:rPr>
        <w:t xml:space="preserve"> the gener</w:t>
      </w:r>
      <w:r w:rsidR="002A79BA">
        <w:rPr>
          <w:rFonts w:ascii="TheSansOffice" w:eastAsia="Times New Roman" w:hAnsi="TheSansOffice" w:cs="Times New Roman"/>
          <w:sz w:val="24"/>
          <w:szCs w:val="24"/>
        </w:rPr>
        <w:t>osity and vision of our donors.</w:t>
      </w:r>
    </w:p>
    <w:sectPr w:rsidR="00CE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panose1 w:val="020B0503040302020204"/>
    <w:charset w:val="00"/>
    <w:family w:val="swiss"/>
    <w:notTrueType/>
    <w:pitch w:val="variable"/>
    <w:sig w:usb0="A00000E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E8"/>
    <w:rsid w:val="00031682"/>
    <w:rsid w:val="00053997"/>
    <w:rsid w:val="000E57CB"/>
    <w:rsid w:val="002A79BA"/>
    <w:rsid w:val="003A7C25"/>
    <w:rsid w:val="005F54E3"/>
    <w:rsid w:val="007067E8"/>
    <w:rsid w:val="00C806B8"/>
    <w:rsid w:val="00CE4633"/>
    <w:rsid w:val="00D8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7E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CB"/>
    <w:pPr>
      <w:framePr w:w="7920" w:h="1980" w:hRule="exact" w:hSpace="180" w:wrap="auto" w:hAnchor="page" w:xAlign="center" w:yAlign="bottom"/>
      <w:spacing w:after="0" w:line="240" w:lineRule="auto"/>
      <w:ind w:left="2880"/>
    </w:pPr>
    <w:rPr>
      <w:rFonts w:ascii="Calibri" w:eastAsiaTheme="majorEastAsia" w:hAnsi="Calibri" w:cstheme="majorBidi"/>
      <w:sz w:val="32"/>
      <w:szCs w:val="24"/>
    </w:rPr>
  </w:style>
  <w:style w:type="character" w:customStyle="1" w:styleId="Heading2Char">
    <w:name w:val="Heading 2 Char"/>
    <w:basedOn w:val="DefaultParagraphFont"/>
    <w:link w:val="Heading2"/>
    <w:uiPriority w:val="9"/>
    <w:semiHidden/>
    <w:rsid w:val="007067E8"/>
    <w:rPr>
      <w:rFonts w:ascii="Cambria" w:eastAsia="Times New Roman" w:hAnsi="Cambria" w:cs="Times New Roman"/>
      <w:b/>
      <w:bCs/>
      <w:i/>
      <w:iCs/>
      <w:sz w:val="28"/>
      <w:szCs w:val="28"/>
    </w:rPr>
  </w:style>
  <w:style w:type="paragraph" w:styleId="NormalWeb">
    <w:name w:val="Normal (Web)"/>
    <w:basedOn w:val="Normal"/>
    <w:uiPriority w:val="99"/>
    <w:unhideWhenUsed/>
    <w:rsid w:val="007067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7E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57CB"/>
    <w:pPr>
      <w:framePr w:w="7920" w:h="1980" w:hRule="exact" w:hSpace="180" w:wrap="auto" w:hAnchor="page" w:xAlign="center" w:yAlign="bottom"/>
      <w:spacing w:after="0" w:line="240" w:lineRule="auto"/>
      <w:ind w:left="2880"/>
    </w:pPr>
    <w:rPr>
      <w:rFonts w:ascii="Calibri" w:eastAsiaTheme="majorEastAsia" w:hAnsi="Calibri" w:cstheme="majorBidi"/>
      <w:sz w:val="32"/>
      <w:szCs w:val="24"/>
    </w:rPr>
  </w:style>
  <w:style w:type="character" w:customStyle="1" w:styleId="Heading2Char">
    <w:name w:val="Heading 2 Char"/>
    <w:basedOn w:val="DefaultParagraphFont"/>
    <w:link w:val="Heading2"/>
    <w:uiPriority w:val="9"/>
    <w:semiHidden/>
    <w:rsid w:val="007067E8"/>
    <w:rPr>
      <w:rFonts w:ascii="Cambria" w:eastAsia="Times New Roman" w:hAnsi="Cambria" w:cs="Times New Roman"/>
      <w:b/>
      <w:bCs/>
      <w:i/>
      <w:iCs/>
      <w:sz w:val="28"/>
      <w:szCs w:val="28"/>
    </w:rPr>
  </w:style>
  <w:style w:type="paragraph" w:styleId="NormalWeb">
    <w:name w:val="Normal (Web)"/>
    <w:basedOn w:val="Normal"/>
    <w:uiPriority w:val="99"/>
    <w:unhideWhenUsed/>
    <w:rsid w:val="00706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LFOT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Hamilton</dc:creator>
  <cp:lastModifiedBy>Brian Hamilton</cp:lastModifiedBy>
  <cp:revision>7</cp:revision>
  <dcterms:created xsi:type="dcterms:W3CDTF">2017-08-29T20:16:00Z</dcterms:created>
  <dcterms:modified xsi:type="dcterms:W3CDTF">2017-08-29T21:01:00Z</dcterms:modified>
</cp:coreProperties>
</file>